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DIN 2014" w:cs="DIN 2014" w:eastAsia="DIN 2014" w:hAnsi="DIN 2014"/>
          <w:b w:val="1"/>
        </w:rPr>
      </w:pPr>
      <w:r w:rsidDel="00000000" w:rsidR="00000000" w:rsidRPr="00000000">
        <w:rPr>
          <w:rFonts w:ascii="DIN 2014" w:cs="DIN 2014" w:eastAsia="DIN 2014" w:hAnsi="DIN 2014"/>
          <w:b w:val="1"/>
          <w:rtl w:val="0"/>
        </w:rPr>
        <w:t xml:space="preserve">Media Contact</w:t>
      </w:r>
    </w:p>
    <w:p w:rsidR="00000000" w:rsidDel="00000000" w:rsidP="00000000" w:rsidRDefault="00000000" w:rsidRPr="00000000" w14:paraId="00000002">
      <w:pPr>
        <w:rPr>
          <w:rFonts w:ascii="DIN 2014" w:cs="DIN 2014" w:eastAsia="DIN 2014" w:hAnsi="DIN 2014"/>
        </w:rPr>
      </w:pPr>
      <w:r w:rsidDel="00000000" w:rsidR="00000000" w:rsidRPr="00000000">
        <w:rPr>
          <w:rFonts w:ascii="DIN 2014" w:cs="DIN 2014" w:eastAsia="DIN 2014" w:hAnsi="DIN 2014"/>
          <w:rtl w:val="0"/>
        </w:rPr>
        <w:t xml:space="preserve">Muriel Xochimitl</w:t>
      </w:r>
    </w:p>
    <w:p w:rsidR="00000000" w:rsidDel="00000000" w:rsidP="00000000" w:rsidRDefault="00000000" w:rsidRPr="00000000" w14:paraId="00000003">
      <w:pPr>
        <w:rPr>
          <w:rFonts w:ascii="DIN 2014" w:cs="DIN 2014" w:eastAsia="DIN 2014" w:hAnsi="DIN 2014"/>
        </w:rPr>
      </w:pPr>
      <w:r w:rsidDel="00000000" w:rsidR="00000000" w:rsidRPr="00000000">
        <w:rPr>
          <w:rFonts w:ascii="DIN 2014" w:cs="DIN 2014" w:eastAsia="DIN 2014" w:hAnsi="DIN 2014"/>
          <w:rtl w:val="0"/>
        </w:rPr>
        <w:t xml:space="preserve">X-Factor Strategic Communications</w:t>
      </w:r>
    </w:p>
    <w:p w:rsidR="00000000" w:rsidDel="00000000" w:rsidP="00000000" w:rsidRDefault="00000000" w:rsidRPr="00000000" w14:paraId="00000004">
      <w:pPr>
        <w:rPr>
          <w:rFonts w:ascii="DIN 2014" w:cs="DIN 2014" w:eastAsia="DIN 2014" w:hAnsi="DIN 2014"/>
        </w:rPr>
      </w:pPr>
      <w:r w:rsidDel="00000000" w:rsidR="00000000" w:rsidRPr="00000000">
        <w:rPr>
          <w:rFonts w:ascii="DIN 2014" w:cs="DIN 2014" w:eastAsia="DIN 2014" w:hAnsi="DIN 2014"/>
          <w:rtl w:val="0"/>
        </w:rPr>
        <w:t xml:space="preserve">muriel@xfactorutah.com</w:t>
      </w:r>
    </w:p>
    <w:p w:rsidR="00000000" w:rsidDel="00000000" w:rsidP="00000000" w:rsidRDefault="00000000" w:rsidRPr="00000000" w14:paraId="00000005">
      <w:pPr>
        <w:rPr>
          <w:rFonts w:ascii="DIN 2014" w:cs="DIN 2014" w:eastAsia="DIN 2014" w:hAnsi="DIN 2014"/>
        </w:rPr>
      </w:pPr>
      <w:r w:rsidDel="00000000" w:rsidR="00000000" w:rsidRPr="00000000">
        <w:rPr>
          <w:rFonts w:ascii="DIN 2014" w:cs="DIN 2014" w:eastAsia="DIN 2014" w:hAnsi="DIN 2014"/>
          <w:rtl w:val="0"/>
        </w:rPr>
        <w:t xml:space="preserve">Cell: 385-225-6418</w:t>
      </w:r>
    </w:p>
    <w:p w:rsidR="00000000" w:rsidDel="00000000" w:rsidP="00000000" w:rsidRDefault="00000000" w:rsidRPr="00000000" w14:paraId="00000006">
      <w:pPr>
        <w:rPr>
          <w:rFonts w:ascii="DIN 2014" w:cs="DIN 2014" w:eastAsia="DIN 2014" w:hAnsi="DIN 2014"/>
        </w:rPr>
      </w:pPr>
      <w:r w:rsidDel="00000000" w:rsidR="00000000" w:rsidRPr="00000000">
        <w:rPr>
          <w:rtl w:val="0"/>
        </w:rPr>
      </w:r>
    </w:p>
    <w:p w:rsidR="00000000" w:rsidDel="00000000" w:rsidP="00000000" w:rsidRDefault="00000000" w:rsidRPr="00000000" w14:paraId="00000007">
      <w:pPr>
        <w:jc w:val="center"/>
        <w:rPr>
          <w:rFonts w:ascii="DIN 2014" w:cs="DIN 2014" w:eastAsia="DIN 2014" w:hAnsi="DIN 2014"/>
          <w:b w:val="1"/>
          <w:sz w:val="24"/>
          <w:szCs w:val="24"/>
        </w:rPr>
      </w:pPr>
      <w:r w:rsidDel="00000000" w:rsidR="00000000" w:rsidRPr="00000000">
        <w:rPr>
          <w:rtl w:val="0"/>
        </w:rPr>
      </w:r>
    </w:p>
    <w:p w:rsidR="00000000" w:rsidDel="00000000" w:rsidP="00000000" w:rsidRDefault="00000000" w:rsidRPr="00000000" w14:paraId="00000008">
      <w:pPr>
        <w:jc w:val="center"/>
        <w:rPr>
          <w:rFonts w:ascii="DIN 2014" w:cs="DIN 2014" w:eastAsia="DIN 2014" w:hAnsi="DIN 2014"/>
          <w:b w:val="1"/>
          <w:sz w:val="24"/>
          <w:szCs w:val="24"/>
        </w:rPr>
      </w:pPr>
      <w:r w:rsidDel="00000000" w:rsidR="00000000" w:rsidRPr="00000000">
        <w:rPr>
          <w:rFonts w:ascii="DIN 2014" w:cs="DIN 2014" w:eastAsia="DIN 2014" w:hAnsi="DIN 2014"/>
          <w:b w:val="1"/>
          <w:sz w:val="24"/>
          <w:szCs w:val="24"/>
          <w:rtl w:val="0"/>
        </w:rPr>
        <w:t xml:space="preserve">The Point Selects World-Renowned Team to Study Air Taxis and Drone Delivery</w:t>
      </w:r>
    </w:p>
    <w:p w:rsidR="00000000" w:rsidDel="00000000" w:rsidP="00000000" w:rsidRDefault="00000000" w:rsidRPr="00000000" w14:paraId="00000009">
      <w:pPr>
        <w:jc w:val="center"/>
        <w:rPr>
          <w:rFonts w:ascii="DIN 2014" w:cs="DIN 2014" w:eastAsia="DIN 2014" w:hAnsi="DIN 2014"/>
        </w:rPr>
      </w:pPr>
      <w:r w:rsidDel="00000000" w:rsidR="00000000" w:rsidRPr="00000000">
        <w:rPr>
          <w:rFonts w:ascii="DIN 2014" w:cs="DIN 2014" w:eastAsia="DIN 2014" w:hAnsi="DIN 2014"/>
          <w:i w:val="1"/>
          <w:sz w:val="20"/>
          <w:szCs w:val="20"/>
          <w:rtl w:val="0"/>
        </w:rPr>
        <w:t xml:space="preserve">Land Authority approves ground-breaking study to assess advanced air mobility at the 600-acre site</w:t>
      </w:r>
      <w:r w:rsidDel="00000000" w:rsidR="00000000" w:rsidRPr="00000000">
        <w:rPr>
          <w:rFonts w:ascii="DIN 2014" w:cs="DIN 2014" w:eastAsia="DIN 2014" w:hAnsi="DIN 2014"/>
          <w:rtl w:val="0"/>
        </w:rPr>
        <w:br w:type="textWrapping"/>
      </w:r>
    </w:p>
    <w:p w:rsidR="00000000" w:rsidDel="00000000" w:rsidP="00000000" w:rsidRDefault="00000000" w:rsidRPr="00000000" w14:paraId="0000000A">
      <w:pPr>
        <w:rPr>
          <w:rFonts w:ascii="DIN 2014" w:cs="DIN 2014" w:eastAsia="DIN 2014" w:hAnsi="DIN 2014"/>
        </w:rPr>
      </w:pPr>
      <w:r w:rsidDel="00000000" w:rsidR="00000000" w:rsidRPr="00000000">
        <w:rPr>
          <w:rFonts w:ascii="DIN 2014" w:cs="DIN 2014" w:eastAsia="DIN 2014" w:hAnsi="DIN 2014"/>
          <w:b w:val="1"/>
          <w:rtl w:val="0"/>
        </w:rPr>
        <w:t xml:space="preserve">DRAPER (August 22, 2024)</w:t>
      </w:r>
      <w:r w:rsidDel="00000000" w:rsidR="00000000" w:rsidRPr="00000000">
        <w:rPr>
          <w:rFonts w:ascii="DIN 2014" w:cs="DIN 2014" w:eastAsia="DIN 2014" w:hAnsi="DIN 2014"/>
          <w:rtl w:val="0"/>
        </w:rPr>
        <w:t xml:space="preserve"> – The Point of the Mountain State Land Authority (Land Authority) has announced the selection of a world-renowned team of experts, </w:t>
      </w:r>
      <w:hyperlink r:id="rId7">
        <w:r w:rsidDel="00000000" w:rsidR="00000000" w:rsidRPr="00000000">
          <w:rPr>
            <w:rFonts w:ascii="DIN 2014" w:cs="DIN 2014" w:eastAsia="DIN 2014" w:hAnsi="DIN 2014"/>
            <w:color w:val="0000ff"/>
            <w:u w:val="single"/>
            <w:rtl w:val="0"/>
          </w:rPr>
          <w:t xml:space="preserve">NEXA</w:t>
        </w:r>
      </w:hyperlink>
      <w:r w:rsidDel="00000000" w:rsidR="00000000" w:rsidRPr="00000000">
        <w:rPr>
          <w:rFonts w:ascii="DIN 2014" w:cs="DIN 2014" w:eastAsia="DIN 2014" w:hAnsi="DIN 2014"/>
          <w:rtl w:val="0"/>
        </w:rPr>
        <w:t xml:space="preserve"> Advisors, to study the feasibility of advanced air mobility (AAM) at The Point. AAM is a new form of transportation that uses electric aircraft to safely and seamlessly move people and packages. NEXA is a premier financial advisory firm in the aerospace industry that has been tasked with conducting an in-depth study to assess the market demand, financial feasibility, regulatory framework and infrastructure needs for potential vertiports, air taxi service and drone deliveries at The Point. </w:t>
        <w:br w:type="textWrapping"/>
      </w:r>
    </w:p>
    <w:p w:rsidR="00000000" w:rsidDel="00000000" w:rsidP="00000000" w:rsidRDefault="00000000" w:rsidRPr="00000000" w14:paraId="0000000B">
      <w:pPr>
        <w:rPr>
          <w:rFonts w:ascii="DIN 2014" w:cs="DIN 2014" w:eastAsia="DIN 2014" w:hAnsi="DIN 2014"/>
        </w:rPr>
      </w:pPr>
      <w:r w:rsidDel="00000000" w:rsidR="00000000" w:rsidRPr="00000000">
        <w:rPr>
          <w:rFonts w:ascii="DIN 2014" w:cs="DIN 2014" w:eastAsia="DIN 2014" w:hAnsi="DIN 2014"/>
          <w:rtl w:val="0"/>
        </w:rPr>
        <w:t xml:space="preserve">“Drone delivery technology has been welcomed in Utah with great success. For over two years, South Jordan City has partnered with Zipline to deliver everything from critical medicine to cookies right to residents’ front doors,” said Representative Jordan Teuscher and Land Authority Co-Chair. “In studying the feasibility of potential drone delivery and air taxi service at The Point, we are taking a phased approach to responsibly planning for the future while ensuring our plans are grounded in reality.”</w:t>
      </w:r>
      <w:r w:rsidDel="00000000" w:rsidR="00000000" w:rsidRPr="00000000">
        <w:rPr>
          <w:rFonts w:ascii="DIN 2014" w:cs="DIN 2014" w:eastAsia="DIN 2014" w:hAnsi="DIN 2014"/>
          <w:rtl w:val="0"/>
        </w:rPr>
        <w:t xml:space="preserve"> </w:t>
      </w:r>
    </w:p>
    <w:p w:rsidR="00000000" w:rsidDel="00000000" w:rsidP="00000000" w:rsidRDefault="00000000" w:rsidRPr="00000000" w14:paraId="0000000C">
      <w:pPr>
        <w:rPr>
          <w:rFonts w:ascii="DIN 2014" w:cs="DIN 2014" w:eastAsia="DIN 2014" w:hAnsi="DIN 2014"/>
        </w:rPr>
      </w:pPr>
      <w:r w:rsidDel="00000000" w:rsidR="00000000" w:rsidRPr="00000000">
        <w:rPr>
          <w:rtl w:val="0"/>
        </w:rPr>
      </w:r>
    </w:p>
    <w:p w:rsidR="00000000" w:rsidDel="00000000" w:rsidP="00000000" w:rsidRDefault="00000000" w:rsidRPr="00000000" w14:paraId="0000000D">
      <w:pPr>
        <w:rPr>
          <w:rFonts w:ascii="DIN 2014" w:cs="DIN 2014" w:eastAsia="DIN 2014" w:hAnsi="DIN 2014"/>
        </w:rPr>
      </w:pPr>
      <w:r w:rsidDel="00000000" w:rsidR="00000000" w:rsidRPr="00000000">
        <w:rPr>
          <w:rFonts w:ascii="DIN 2014" w:cs="DIN 2014" w:eastAsia="DIN 2014" w:hAnsi="DIN 2014"/>
          <w:rtl w:val="0"/>
        </w:rPr>
        <w:t xml:space="preserve">NEXA and their award-winning team of national and local experts have led AAM projects around the country and the world. The team will analyze a variety of ways that air taxis and drone delivery services could be used at The Point, including for medical needs, cargo delivery, on-demand ridesharing, airport shuttles and commuting. They will catalog the size and number of potential vertiports, forecast passenger demand, delineate air corridors and estimate ticket prices. In addition, they will identify specific areas at The Point that are projected to have high demand for air taxi services and recommend how those areas could integrate with existing ground transportation options to reduce congestion and travel time for commuters. </w:t>
      </w:r>
    </w:p>
    <w:p w:rsidR="00000000" w:rsidDel="00000000" w:rsidP="00000000" w:rsidRDefault="00000000" w:rsidRPr="00000000" w14:paraId="0000000E">
      <w:pPr>
        <w:rPr>
          <w:rFonts w:ascii="DIN 2014" w:cs="DIN 2014" w:eastAsia="DIN 2014" w:hAnsi="DIN 2014"/>
        </w:rPr>
      </w:pPr>
      <w:r w:rsidDel="00000000" w:rsidR="00000000" w:rsidRPr="00000000">
        <w:rPr>
          <w:rtl w:val="0"/>
        </w:rPr>
      </w:r>
    </w:p>
    <w:p w:rsidR="00000000" w:rsidDel="00000000" w:rsidP="00000000" w:rsidRDefault="00000000" w:rsidRPr="00000000" w14:paraId="0000000F">
      <w:pPr>
        <w:rPr>
          <w:rFonts w:ascii="DIN 2014" w:cs="DIN 2014" w:eastAsia="DIN 2014" w:hAnsi="DIN 2014"/>
        </w:rPr>
      </w:pPr>
      <w:r w:rsidDel="00000000" w:rsidR="00000000" w:rsidRPr="00000000">
        <w:rPr>
          <w:rFonts w:ascii="DIN 2014" w:cs="DIN 2014" w:eastAsia="DIN 2014" w:hAnsi="DIN 2014"/>
          <w:rtl w:val="0"/>
        </w:rPr>
        <w:t xml:space="preserve">“Our team is thrilled to be working with the Point of the Mountain State Land Authority to conduct this ground-breaking study. The forward-thinking plans established for the first development phase provide us with an excellent blueprint for integrating a transportation system in the air that connects safely and seamlessly with the transportation system on the ground,” said Dr. Tulinda Larsen, Principal at NEXA Advisors. “Through our comprehensive methodology, we aim to provide actionable insights and recommendations for policymakers, transportation planners and industry stakeholders to consider as Utah’s Innovation Community takes shape.” </w:t>
      </w:r>
    </w:p>
    <w:p w:rsidR="00000000" w:rsidDel="00000000" w:rsidP="00000000" w:rsidRDefault="00000000" w:rsidRPr="00000000" w14:paraId="00000010">
      <w:pPr>
        <w:rPr>
          <w:rFonts w:ascii="DIN 2014" w:cs="DIN 2014" w:eastAsia="DIN 2014" w:hAnsi="DIN 2014"/>
        </w:rPr>
      </w:pPr>
      <w:r w:rsidDel="00000000" w:rsidR="00000000" w:rsidRPr="00000000">
        <w:rPr>
          <w:rtl w:val="0"/>
        </w:rPr>
      </w:r>
    </w:p>
    <w:p w:rsidR="00000000" w:rsidDel="00000000" w:rsidP="00000000" w:rsidRDefault="00000000" w:rsidRPr="00000000" w14:paraId="00000011">
      <w:pPr>
        <w:rPr>
          <w:rFonts w:ascii="DIN 2014" w:cs="DIN 2014" w:eastAsia="DIN 2014" w:hAnsi="DIN 2014"/>
        </w:rPr>
      </w:pPr>
      <w:r w:rsidDel="00000000" w:rsidR="00000000" w:rsidRPr="00000000">
        <w:rPr>
          <w:rFonts w:ascii="DIN 2014" w:cs="DIN 2014" w:eastAsia="DIN 2014" w:hAnsi="DIN 2014"/>
          <w:rtl w:val="0"/>
        </w:rPr>
        <w:t xml:space="preserve">Utah stands out as the one of the only states in the country undertaking a comprehensive, statewide approach supported at the highest levels of state and local government, industry and academia. The announcement comes just months after the Utah Department of Transportation’s Division of Aeronautics conducted the </w:t>
      </w:r>
      <w:hyperlink r:id="rId8">
        <w:r w:rsidDel="00000000" w:rsidR="00000000" w:rsidRPr="00000000">
          <w:rPr>
            <w:rFonts w:ascii="DIN 2014" w:cs="DIN 2014" w:eastAsia="DIN 2014" w:hAnsi="DIN 2014"/>
            <w:color w:val="0000ff"/>
            <w:u w:val="single"/>
            <w:rtl w:val="0"/>
          </w:rPr>
          <w:t xml:space="preserve">first-of-its-kind vertiport demonstration</w:t>
        </w:r>
      </w:hyperlink>
      <w:r w:rsidDel="00000000" w:rsidR="00000000" w:rsidRPr="00000000">
        <w:rPr>
          <w:rFonts w:ascii="DIN 2014" w:cs="DIN 2014" w:eastAsia="DIN 2014" w:hAnsi="DIN 2014"/>
          <w:rtl w:val="0"/>
        </w:rPr>
        <w:t xml:space="preserve"> and 47G, Utah’s aerospace industry association, launched </w:t>
      </w:r>
      <w:hyperlink r:id="rId9">
        <w:r w:rsidDel="00000000" w:rsidR="00000000" w:rsidRPr="00000000">
          <w:rPr>
            <w:rFonts w:ascii="DIN 2014" w:cs="DIN 2014" w:eastAsia="DIN 2014" w:hAnsi="DIN 2014"/>
            <w:color w:val="0000ff"/>
            <w:u w:val="single"/>
            <w:rtl w:val="0"/>
          </w:rPr>
          <w:t xml:space="preserve">Project Alta</w:t>
        </w:r>
      </w:hyperlink>
      <w:r w:rsidDel="00000000" w:rsidR="00000000" w:rsidRPr="00000000">
        <w:rPr>
          <w:rFonts w:ascii="DIN 2014" w:cs="DIN 2014" w:eastAsia="DIN 2014" w:hAnsi="DIN 2014"/>
          <w:rtl w:val="0"/>
        </w:rPr>
        <w:t xml:space="preserve">. Project Alta is a public-private partnership with a mission to establish an air transportation system by 2034 when Utah hosts the Winter Olympic Games. </w:t>
      </w:r>
    </w:p>
    <w:p w:rsidR="00000000" w:rsidDel="00000000" w:rsidP="00000000" w:rsidRDefault="00000000" w:rsidRPr="00000000" w14:paraId="00000012">
      <w:pPr>
        <w:rPr>
          <w:rFonts w:ascii="DIN 2014" w:cs="DIN 2014" w:eastAsia="DIN 2014" w:hAnsi="DIN 2014"/>
        </w:rPr>
      </w:pPr>
      <w:r w:rsidDel="00000000" w:rsidR="00000000" w:rsidRPr="00000000">
        <w:rPr>
          <w:rtl w:val="0"/>
        </w:rPr>
      </w:r>
    </w:p>
    <w:p w:rsidR="00000000" w:rsidDel="00000000" w:rsidP="00000000" w:rsidRDefault="00000000" w:rsidRPr="00000000" w14:paraId="00000013">
      <w:pPr>
        <w:rPr>
          <w:rFonts w:ascii="DIN 2014" w:cs="DIN 2014" w:eastAsia="DIN 2014" w:hAnsi="DIN 2014"/>
          <w:sz w:val="20"/>
          <w:szCs w:val="20"/>
        </w:rPr>
      </w:pPr>
      <w:r w:rsidDel="00000000" w:rsidR="00000000" w:rsidRPr="00000000">
        <w:rPr>
          <w:rFonts w:ascii="DIN 2014" w:cs="DIN 2014" w:eastAsia="DIN 2014" w:hAnsi="DIN 2014"/>
          <w:rtl w:val="0"/>
        </w:rPr>
        <w:t xml:space="preserve">“The Legislature has given us a mandate to create a future-focused transportation system at The Point that seamlessly moves people. To achieve this mandate, we are carefully assessing a wide variety of multimodal solutions that include not only roads and transit but also drones and air taxis,” said Land Authority Co-Chair Lowry Snow. “We are taking incremental steps to ensure we remain at the forefront of innovations that benefit all Utahns through better mobility, enhanced job access and improved air quality.” </w:t>
        <w:br w:type="textWrapping"/>
        <w:br w:type="textWrapping"/>
      </w:r>
      <w:r w:rsidDel="00000000" w:rsidR="00000000" w:rsidRPr="00000000">
        <w:rPr>
          <w:rtl w:val="0"/>
        </w:rPr>
      </w:r>
    </w:p>
    <w:p w:rsidR="00000000" w:rsidDel="00000000" w:rsidP="00000000" w:rsidRDefault="00000000" w:rsidRPr="00000000" w14:paraId="00000014">
      <w:pPr>
        <w:jc w:val="center"/>
        <w:rPr>
          <w:rFonts w:ascii="DIN 2014" w:cs="DIN 2014" w:eastAsia="DIN 2014" w:hAnsi="DIN 2014"/>
          <w:sz w:val="20"/>
          <w:szCs w:val="20"/>
        </w:rPr>
      </w:pPr>
      <w:r w:rsidDel="00000000" w:rsidR="00000000" w:rsidRPr="00000000">
        <w:rPr>
          <w:rFonts w:ascii="DIN 2014" w:cs="DIN 2014" w:eastAsia="DIN 2014" w:hAnsi="DIN 2014"/>
          <w:sz w:val="20"/>
          <w:szCs w:val="20"/>
          <w:rtl w:val="0"/>
        </w:rPr>
        <w:t xml:space="preserve">###</w:t>
        <w:br w:type="textWrapping"/>
      </w:r>
    </w:p>
    <w:p w:rsidR="00000000" w:rsidDel="00000000" w:rsidP="00000000" w:rsidRDefault="00000000" w:rsidRPr="00000000" w14:paraId="00000015">
      <w:pPr>
        <w:rPr>
          <w:rFonts w:ascii="DIN 2014" w:cs="DIN 2014" w:eastAsia="DIN 2014" w:hAnsi="DIN 2014"/>
          <w:sz w:val="20"/>
          <w:szCs w:val="20"/>
        </w:rPr>
      </w:pPr>
      <w:r w:rsidDel="00000000" w:rsidR="00000000" w:rsidRPr="00000000">
        <w:rPr>
          <w:rFonts w:ascii="DIN 2014" w:cs="DIN 2014" w:eastAsia="DIN 2014" w:hAnsi="DIN 2014"/>
          <w:b w:val="1"/>
          <w:sz w:val="20"/>
          <w:szCs w:val="20"/>
          <w:rtl w:val="0"/>
        </w:rPr>
        <w:t xml:space="preserve">About</w:t>
      </w:r>
      <w:hyperlink r:id="rId10">
        <w:r w:rsidDel="00000000" w:rsidR="00000000" w:rsidRPr="00000000">
          <w:rPr>
            <w:rFonts w:ascii="DIN 2014" w:cs="DIN 2014" w:eastAsia="DIN 2014" w:hAnsi="DIN 2014"/>
            <w:b w:val="1"/>
            <w:color w:val="0000ff"/>
            <w:sz w:val="20"/>
            <w:szCs w:val="20"/>
            <w:u w:val="single"/>
            <w:rtl w:val="0"/>
          </w:rPr>
          <w:t xml:space="preserve"> The Point</w:t>
        </w:r>
      </w:hyperlink>
      <w:hyperlink r:id="rId11">
        <w:r w:rsidDel="00000000" w:rsidR="00000000" w:rsidRPr="00000000">
          <w:rPr>
            <w:rFonts w:ascii="DIN 2014" w:cs="DIN 2014" w:eastAsia="DIN 2014" w:hAnsi="DIN 2014"/>
            <w:color w:val="0000ff"/>
            <w:sz w:val="20"/>
            <w:szCs w:val="20"/>
            <w:u w:val="single"/>
            <w:rtl w:val="0"/>
          </w:rPr>
          <w:br w:type="textWrapping"/>
        </w:r>
      </w:hyperlink>
      <w:r w:rsidDel="00000000" w:rsidR="00000000" w:rsidRPr="00000000">
        <w:rPr>
          <w:rFonts w:ascii="DIN 2014" w:cs="DIN 2014" w:eastAsia="DIN 2014" w:hAnsi="DIN 2014"/>
          <w:sz w:val="20"/>
          <w:szCs w:val="20"/>
          <w:rtl w:val="0"/>
        </w:rPr>
        <w:t xml:space="preserve">Utahns have a once-in-a-generation opportunity to develop the 600 acres of state-owned property called “The Point” in a way that is economically robust and environmentally sustainable. Widely recognized as one of the most significant development opportunities in Utah history, The Point is well served by vital infrastructure and centrally located at the heart of Utah’s fast-growing technology industry. The site offers unprecedented potential to create an innovation hub that catalyzes technological advancement, fosters mixed-use urban areas, and preserves parks and open space. </w:t>
        <w:br w:type="textWrapping"/>
      </w:r>
    </w:p>
    <w:p w:rsidR="00000000" w:rsidDel="00000000" w:rsidP="00000000" w:rsidRDefault="00000000" w:rsidRPr="00000000" w14:paraId="00000016">
      <w:pPr>
        <w:rPr>
          <w:rFonts w:ascii="DIN 2014" w:cs="DIN 2014" w:eastAsia="DIN 2014" w:hAnsi="DIN 2014"/>
          <w:sz w:val="20"/>
          <w:szCs w:val="20"/>
        </w:rPr>
      </w:pPr>
      <w:r w:rsidDel="00000000" w:rsidR="00000000" w:rsidRPr="00000000">
        <w:rPr>
          <w:rFonts w:ascii="DIN 2014" w:cs="DIN 2014" w:eastAsia="DIN 2014" w:hAnsi="DIN 2014"/>
          <w:b w:val="1"/>
          <w:sz w:val="20"/>
          <w:szCs w:val="20"/>
          <w:rtl w:val="0"/>
        </w:rPr>
        <w:t xml:space="preserve">About </w:t>
      </w:r>
      <w:hyperlink r:id="rId12">
        <w:r w:rsidDel="00000000" w:rsidR="00000000" w:rsidRPr="00000000">
          <w:rPr>
            <w:rFonts w:ascii="DIN 2014" w:cs="DIN 2014" w:eastAsia="DIN 2014" w:hAnsi="DIN 2014"/>
            <w:b w:val="1"/>
            <w:color w:val="0000ff"/>
            <w:sz w:val="20"/>
            <w:szCs w:val="20"/>
            <w:u w:val="single"/>
            <w:rtl w:val="0"/>
          </w:rPr>
          <w:t xml:space="preserve">NEXA</w:t>
          <w:br w:type="textWrapping"/>
        </w:r>
      </w:hyperlink>
      <w:r w:rsidDel="00000000" w:rsidR="00000000" w:rsidRPr="00000000">
        <w:rPr>
          <w:rFonts w:ascii="DIN 2014" w:cs="DIN 2014" w:eastAsia="DIN 2014" w:hAnsi="DIN 2014"/>
          <w:sz w:val="20"/>
          <w:szCs w:val="20"/>
          <w:rtl w:val="0"/>
        </w:rPr>
        <w:t xml:space="preserve">NEXA Advisors provides corporate and strategic financial advisory services to the aerospace, transportation, logistics and homeland security sectors. They work with companies and management teams currently positioned to benefit from emerging factors driving sector transformation. NEXA professionals bring proven expertise, industry-wide relationships, and the power of industrial partnerships and alliances.</w:t>
      </w:r>
    </w:p>
    <w:p w:rsidR="00000000" w:rsidDel="00000000" w:rsidP="00000000" w:rsidRDefault="00000000" w:rsidRPr="00000000" w14:paraId="00000017">
      <w:pPr>
        <w:rPr>
          <w:rFonts w:ascii="DIN 2014" w:cs="DIN 2014" w:eastAsia="DIN 2014" w:hAnsi="DIN 2014"/>
        </w:rPr>
      </w:pPr>
      <w:r w:rsidDel="00000000" w:rsidR="00000000" w:rsidRPr="00000000">
        <w:rPr>
          <w:rtl w:val="0"/>
        </w:rPr>
      </w:r>
    </w:p>
    <w:p w:rsidR="00000000" w:rsidDel="00000000" w:rsidP="00000000" w:rsidRDefault="00000000" w:rsidRPr="00000000" w14:paraId="00000018">
      <w:pPr>
        <w:rPr>
          <w:rFonts w:ascii="DIN 2014" w:cs="DIN 2014" w:eastAsia="DIN 2014" w:hAnsi="DIN 2014"/>
          <w:sz w:val="20"/>
          <w:szCs w:val="20"/>
        </w:rPr>
      </w:pPr>
      <w:r w:rsidDel="00000000" w:rsidR="00000000" w:rsidRPr="00000000">
        <w:rPr>
          <w:rtl w:val="0"/>
        </w:rPr>
      </w:r>
    </w:p>
    <w:sectPr>
      <w:headerReference r:id="rId13" w:type="first"/>
      <w:pgSz w:h="15840" w:w="12240" w:orient="portrait"/>
      <w:pgMar w:bottom="1152" w:top="1152" w:left="1152" w:right="115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DIN 2014"/>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4053840</wp:posOffset>
          </wp:positionH>
          <wp:positionV relativeFrom="paragraph">
            <wp:posOffset>114300</wp:posOffset>
          </wp:positionV>
          <wp:extent cx="2071688" cy="1060654"/>
          <wp:effectExtent b="0" l="0" r="0" t="0"/>
          <wp:wrapNone/>
          <wp:docPr id="749940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71688" cy="106065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E84DF2"/>
    <w:pPr>
      <w:tabs>
        <w:tab w:val="center" w:pos="4680"/>
        <w:tab w:val="right" w:pos="9360"/>
      </w:tabs>
      <w:spacing w:line="240" w:lineRule="auto"/>
    </w:pPr>
  </w:style>
  <w:style w:type="character" w:styleId="HeaderChar" w:customStyle="1">
    <w:name w:val="Header Char"/>
    <w:basedOn w:val="DefaultParagraphFont"/>
    <w:link w:val="Header"/>
    <w:uiPriority w:val="99"/>
    <w:rsid w:val="00E84DF2"/>
  </w:style>
  <w:style w:type="paragraph" w:styleId="Footer">
    <w:name w:val="footer"/>
    <w:basedOn w:val="Normal"/>
    <w:link w:val="FooterChar"/>
    <w:uiPriority w:val="99"/>
    <w:unhideWhenUsed w:val="1"/>
    <w:rsid w:val="00E84DF2"/>
    <w:pPr>
      <w:tabs>
        <w:tab w:val="center" w:pos="4680"/>
        <w:tab w:val="right" w:pos="9360"/>
      </w:tabs>
      <w:spacing w:line="240" w:lineRule="auto"/>
    </w:pPr>
  </w:style>
  <w:style w:type="character" w:styleId="FooterChar" w:customStyle="1">
    <w:name w:val="Footer Char"/>
    <w:basedOn w:val="DefaultParagraphFont"/>
    <w:link w:val="Footer"/>
    <w:uiPriority w:val="99"/>
    <w:rsid w:val="00E84DF2"/>
  </w:style>
  <w:style w:type="character" w:styleId="Hyperlink">
    <w:name w:val="Hyperlink"/>
    <w:basedOn w:val="DefaultParagraphFont"/>
    <w:uiPriority w:val="99"/>
    <w:unhideWhenUsed w:val="1"/>
    <w:rsid w:val="004A262F"/>
    <w:rPr>
      <w:color w:val="0000ff" w:themeColor="hyperlink"/>
      <w:u w:val="single"/>
    </w:rPr>
  </w:style>
  <w:style w:type="character" w:styleId="UnresolvedMention">
    <w:name w:val="Unresolved Mention"/>
    <w:basedOn w:val="DefaultParagraphFont"/>
    <w:uiPriority w:val="99"/>
    <w:semiHidden w:val="1"/>
    <w:unhideWhenUsed w:val="1"/>
    <w:rsid w:val="004A262F"/>
    <w:rPr>
      <w:color w:val="605e5c"/>
      <w:shd w:color="auto" w:fill="e1dfdd" w:val="clear"/>
    </w:rPr>
  </w:style>
  <w:style w:type="paragraph" w:styleId="NormalWeb">
    <w:name w:val="Normal (Web)"/>
    <w:basedOn w:val="Normal"/>
    <w:uiPriority w:val="99"/>
    <w:semiHidden w:val="1"/>
    <w:unhideWhenUsed w:val="1"/>
    <w:rsid w:val="00BC709B"/>
    <w:rPr>
      <w:rFonts w:ascii="Times New Roman" w:cs="Times New Roman" w:hAnsi="Times New Roman"/>
      <w:sz w:val="24"/>
      <w:szCs w:val="24"/>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thepointutah.org/" TargetMode="External"/><Relationship Id="rId10" Type="http://schemas.openxmlformats.org/officeDocument/2006/relationships/hyperlink" Target="http://www.thepointutah.org/" TargetMode="External"/><Relationship Id="rId13" Type="http://schemas.openxmlformats.org/officeDocument/2006/relationships/header" Target="header1.xml"/><Relationship Id="rId12" Type="http://schemas.openxmlformats.org/officeDocument/2006/relationships/hyperlink" Target="https://nexacapita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lta.47g.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exacapital.com/" TargetMode="External"/><Relationship Id="rId8" Type="http://schemas.openxmlformats.org/officeDocument/2006/relationships/hyperlink" Target="https://udot.utah.gov/connect/2024/05/21/udot-conducts-utahs-first-vertiport-demonstr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WXhFyscFxPNzd3cl6aD9bCL9Yg==">CgMxLjA4AHIhMWFDcDZuRnZjaXIzUFNwTkNyYzhnY0U3MDhQVUZDV0Nh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2024-08-16T19:28:00Z</dcterms:created>
  <dc:creator>Muriel Xochimitl</dc:creator>
</cp:coreProperties>
</file>